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eastAsia="楷体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龙港市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企业入园管理</w:t>
      </w:r>
      <w:r>
        <w:rPr>
          <w:rFonts w:hint="eastAsia" w:ascii="方正小标宋简体" w:eastAsia="方正小标宋简体"/>
          <w:bCs/>
          <w:sz w:val="44"/>
          <w:szCs w:val="44"/>
        </w:rPr>
        <w:t>合同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/>
        <w:textAlignment w:val="auto"/>
        <w:rPr>
          <w:rFonts w:hint="eastAsia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甲方：</w:t>
      </w:r>
      <w:r>
        <w:rPr>
          <w:rFonts w:hint="eastAsia" w:eastAsia="仿宋_GB2312"/>
          <w:sz w:val="32"/>
          <w:szCs w:val="32"/>
          <w:lang w:val="en-US" w:eastAsia="zh-CN"/>
        </w:rPr>
        <w:t>龙港市经济发展局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乙方</w:t>
      </w:r>
      <w:r>
        <w:rPr>
          <w:rFonts w:hint="eastAsia" w:eastAsia="仿宋_GB2312"/>
          <w:sz w:val="32"/>
          <w:szCs w:val="32"/>
          <w:lang w:eastAsia="zh-CN"/>
        </w:rPr>
        <w:t>（入园企业）</w:t>
      </w:r>
      <w:r>
        <w:rPr>
          <w:rFonts w:eastAsia="仿宋_GB2312"/>
          <w:sz w:val="32"/>
          <w:szCs w:val="32"/>
        </w:rPr>
        <w:t>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根据《中华人民共和国合同法》</w:t>
      </w:r>
      <w:r>
        <w:rPr>
          <w:rFonts w:hint="eastAsia" w:eastAsia="仿宋_GB2312"/>
          <w:sz w:val="32"/>
          <w:szCs w:val="32"/>
          <w:lang w:eastAsia="zh-CN"/>
        </w:rPr>
        <w:t>和《小微企业园建设项目管理合同》</w:t>
      </w:r>
      <w:r>
        <w:rPr>
          <w:rFonts w:eastAsia="仿宋_GB2312"/>
          <w:sz w:val="32"/>
          <w:szCs w:val="32"/>
        </w:rPr>
        <w:t>，在乙方通过</w:t>
      </w:r>
      <w:r>
        <w:rPr>
          <w:rFonts w:hint="eastAsia" w:eastAsia="仿宋_GB2312"/>
          <w:sz w:val="32"/>
          <w:szCs w:val="32"/>
          <w:lang w:eastAsia="zh-CN"/>
        </w:rPr>
        <w:t>购买（租赁）</w:t>
      </w:r>
      <w:r>
        <w:rPr>
          <w:rFonts w:eastAsia="仿宋_GB2312"/>
          <w:sz w:val="32"/>
          <w:szCs w:val="32"/>
        </w:rPr>
        <w:t>方式取得甲方辖区范围内的工业</w:t>
      </w:r>
      <w:r>
        <w:rPr>
          <w:rFonts w:hint="eastAsia" w:eastAsia="仿宋_GB2312"/>
          <w:sz w:val="32"/>
          <w:szCs w:val="32"/>
          <w:lang w:eastAsia="zh-CN"/>
        </w:rPr>
        <w:t>厂房</w:t>
      </w:r>
      <w:r>
        <w:rPr>
          <w:rFonts w:eastAsia="仿宋_GB2312"/>
          <w:sz w:val="32"/>
          <w:szCs w:val="32"/>
        </w:rPr>
        <w:t>使用权</w:t>
      </w:r>
      <w:r>
        <w:rPr>
          <w:rFonts w:hint="eastAsia" w:eastAsia="仿宋_GB2312"/>
          <w:sz w:val="32"/>
          <w:szCs w:val="32"/>
          <w:lang w:eastAsia="zh-CN"/>
        </w:rPr>
        <w:t>前</w:t>
      </w:r>
      <w:r>
        <w:rPr>
          <w:rFonts w:eastAsia="仿宋_GB2312"/>
          <w:sz w:val="32"/>
          <w:szCs w:val="32"/>
        </w:rPr>
        <w:t>，甲乙</w:t>
      </w:r>
      <w:r>
        <w:rPr>
          <w:rFonts w:hint="eastAsia" w:eastAsia="仿宋_GB2312"/>
          <w:sz w:val="32"/>
          <w:szCs w:val="32"/>
          <w:lang w:val="en-US" w:eastAsia="zh-CN"/>
        </w:rPr>
        <w:t>双</w:t>
      </w:r>
      <w:r>
        <w:rPr>
          <w:rFonts w:eastAsia="仿宋_GB2312"/>
          <w:sz w:val="32"/>
          <w:szCs w:val="32"/>
        </w:rPr>
        <w:t>方本着友好协商的原则，约定如下：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一、基本内容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入驻企业情况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乙方</w:t>
      </w:r>
      <w:r>
        <w:rPr>
          <w:rFonts w:hint="eastAsia" w:eastAsia="仿宋_GB2312"/>
          <w:sz w:val="32"/>
          <w:szCs w:val="32"/>
          <w:lang w:eastAsia="zh-CN"/>
        </w:rPr>
        <w:t>企业</w:t>
      </w:r>
      <w:r>
        <w:rPr>
          <w:rFonts w:eastAsia="仿宋_GB2312"/>
          <w:sz w:val="32"/>
          <w:szCs w:val="32"/>
        </w:rPr>
        <w:t>名称：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所属行业：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厂房情况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厂房地址及具体门牌、楼层：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厂房面积</w:t>
      </w:r>
      <w:r>
        <w:rPr>
          <w:rFonts w:hint="eastAsia" w:eastAsia="仿宋_GB2312"/>
          <w:sz w:val="32"/>
          <w:szCs w:val="32"/>
          <w:lang w:val="en-US" w:eastAsia="zh-CN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平方米或亩</w:t>
      </w:r>
      <w:r>
        <w:rPr>
          <w:rFonts w:hint="eastAsia" w:eastAsia="仿宋_GB2312"/>
          <w:sz w:val="32"/>
          <w:szCs w:val="32"/>
          <w:lang w:val="en-US" w:eastAsia="zh-CN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（三）厂房价格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厂房买卖（租赁）价格为：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元/平方米。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二、控制指标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企业入园</w:t>
      </w:r>
      <w:r>
        <w:rPr>
          <w:rFonts w:eastAsia="仿宋_GB2312"/>
          <w:sz w:val="32"/>
          <w:szCs w:val="32"/>
        </w:rPr>
        <w:t>控制指标参照《</w:t>
      </w:r>
      <w:r>
        <w:rPr>
          <w:rFonts w:eastAsia="仿宋_GB2312"/>
          <w:spacing w:val="7"/>
          <w:sz w:val="32"/>
          <w:szCs w:val="32"/>
          <w:shd w:val="clear" w:color="auto" w:fill="FFFFFF"/>
        </w:rPr>
        <w:t>温州市“标准地”控制性指标 (试行)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执行</w:t>
      </w:r>
      <w:r>
        <w:rPr>
          <w:rFonts w:eastAsia="仿宋_GB2312"/>
          <w:sz w:val="32"/>
          <w:szCs w:val="32"/>
        </w:rPr>
        <w:t>，具体如下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按每亩1500平方米计算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（一）主要经济指标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要求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投资强度不低于：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200万元/亩。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月   日（应为交付后两年内）。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3.达</w:t>
      </w:r>
      <w:r>
        <w:rPr>
          <w:rFonts w:hint="eastAsia" w:ascii="仿宋_GB2312" w:hAnsi="仿宋_GB2312" w:eastAsia="仿宋_GB2312" w:cs="仿宋_GB2312"/>
          <w:sz w:val="32"/>
          <w:szCs w:val="32"/>
        </w:rPr>
        <w:t>产后税收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不低于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万元/亩。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（二）厂房转让转租要求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厂房交付使用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未满6年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不得转让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企业厂房出租，承租企业必须经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龙港市经济发展局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书面审核同意，方可入驻；租赁厂房不得转租。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厂房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租赁价格不得超过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元/平方米/月或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元/平方米/年，租赁实行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年一签，租金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支付周期不超过一年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乙方发生股东股权变更、经营范围变更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投资内容变更时，应书面上报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园区运营管理单位审核，并经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龙港市经济发展局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或园区管委会批准。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未作出书面答复同意变更的，乙方不得变更。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乙方发生股东股权变更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时，应告知股份受让人上述情形，若乙方未履行告知义务造成第三方经济损失，乙方应无条件予以赔偿。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（三）服从园区统一管理要求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对自身安全生产、达标排放加强自查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，同时积极配合园区运营管理单位及相关职能部门的指导和监管，协助开展园区数字化改造工作。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2.甲方要做好入园企业装修指导工作。乙方入园装修需到相关主管部门备案，未经批准，不允许对楼层进行结构性分层、更改外立面、挤占消防通道等违章、违法行为。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sz w:val="32"/>
          <w:szCs w:val="32"/>
          <w:lang w:eastAsia="zh-CN"/>
        </w:rPr>
        <w:t>三</w:t>
      </w:r>
      <w:r>
        <w:rPr>
          <w:rFonts w:ascii="黑体" w:eastAsia="黑体"/>
          <w:bCs/>
          <w:sz w:val="32"/>
          <w:szCs w:val="32"/>
        </w:rPr>
        <w:t>、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退出机制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厂房属于合法购得的，如存在以下情况之一的，按我市小微园高质量发展办法相应规定予以清退：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1.企业达产期满未能达到约定投资强度或产值或税收要求，后经批准达产验收延期一年仍未达到要求；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企业购买厂房空置逾期6个月未入驻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或连续停产满1年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亩均税收连续三年未达合同约定，或综合评价连续三年被评为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D类企业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4.未经允许擅自变更股东股权、经营范围或</w:t>
      </w:r>
      <w:r>
        <w:rPr>
          <w:rFonts w:eastAsia="仿宋_GB2312"/>
          <w:sz w:val="32"/>
          <w:szCs w:val="32"/>
        </w:rPr>
        <w:t>投资内容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5.未经批准擅自改变厂房用途、结构，拒不整改的；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租赁厂房的，如存在以下情况之一的，按照相关规定予以解除租赁合同：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1.厂房交付后3个月内未进行设备安装或超过约定投产时间3个月不投产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停产停业超过6个月的；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2.新项目入驻后二年内未达到承诺税收要求的；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3.未经批准擅自改变厂房用途、结构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或擅自变更经营范围或所从事与其申报的项目不符的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4.擅自</w:t>
      </w:r>
      <w:r>
        <w:rPr>
          <w:rFonts w:hint="eastAsia" w:ascii="仿宋_GB2312" w:hAnsi="仿宋_GB2312" w:eastAsia="仿宋_GB2312" w:cs="仿宋_GB2312"/>
          <w:sz w:val="32"/>
          <w:szCs w:val="32"/>
        </w:rPr>
        <w:t>转租、分租、转借、与他人调剂使用的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同时，有该类行为的企业纳入失信名单，且不允许入驻国有产权厂房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5.连续两年工业企业亩均效益综合评价结果为D类的；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6.无故拖欠租金或其他费用超过1个月，并经书面催收仍拒绝缴纳的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三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sz w:val="32"/>
          <w:szCs w:val="32"/>
        </w:rPr>
        <w:t>项目亩均税收达不到约定标准的，乙方需向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龙港市经济发展局</w:t>
      </w:r>
      <w:r>
        <w:rPr>
          <w:rFonts w:hint="eastAsia" w:ascii="仿宋_GB2312" w:eastAsia="仿宋_GB2312"/>
          <w:bCs/>
          <w:sz w:val="32"/>
          <w:szCs w:val="32"/>
        </w:rPr>
        <w:t>支付违约金，统一上缴财政非税收入专户。</w:t>
      </w:r>
      <w:r>
        <w:rPr>
          <w:rFonts w:hint="eastAsia" w:eastAsia="仿宋_GB2312"/>
          <w:sz w:val="32"/>
          <w:szCs w:val="32"/>
        </w:rPr>
        <w:t>〔违约金计算方法：违约金金额＝约定亩均税收（万元/亩）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项目用地面积（亩）－综合验收计算期内项目实际缴纳税收。〕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三</w:t>
      </w:r>
      <w:r>
        <w:rPr>
          <w:rFonts w:eastAsia="仿宋_GB2312"/>
          <w:sz w:val="32"/>
          <w:szCs w:val="32"/>
        </w:rPr>
        <w:t>、本合同未尽事宜，</w:t>
      </w:r>
      <w:r>
        <w:rPr>
          <w:rFonts w:hint="eastAsia" w:eastAsia="仿宋_GB2312"/>
          <w:sz w:val="32"/>
          <w:szCs w:val="32"/>
          <w:lang w:val="en-US" w:eastAsia="zh-CN"/>
        </w:rPr>
        <w:t>双</w:t>
      </w:r>
      <w:r>
        <w:rPr>
          <w:rFonts w:hint="eastAsia" w:eastAsia="仿宋_GB2312"/>
          <w:sz w:val="32"/>
          <w:szCs w:val="32"/>
          <w:lang w:eastAsia="zh-CN"/>
        </w:rPr>
        <w:t>方可</w:t>
      </w:r>
      <w:r>
        <w:rPr>
          <w:rFonts w:eastAsia="仿宋_GB2312"/>
          <w:sz w:val="32"/>
          <w:szCs w:val="32"/>
        </w:rPr>
        <w:t>另立补充协议约定，</w:t>
      </w:r>
      <w:r>
        <w:rPr>
          <w:rFonts w:hint="eastAsia" w:eastAsia="仿宋_GB2312"/>
          <w:sz w:val="32"/>
          <w:szCs w:val="32"/>
          <w:lang w:eastAsia="zh-CN"/>
        </w:rPr>
        <w:t>作为</w:t>
      </w:r>
      <w:r>
        <w:rPr>
          <w:rFonts w:eastAsia="仿宋_GB2312"/>
          <w:sz w:val="32"/>
          <w:szCs w:val="32"/>
        </w:rPr>
        <w:t>本合同的</w:t>
      </w:r>
      <w:r>
        <w:rPr>
          <w:rFonts w:hint="eastAsia" w:eastAsia="仿宋_GB2312"/>
          <w:sz w:val="32"/>
          <w:szCs w:val="32"/>
          <w:lang w:eastAsia="zh-CN"/>
        </w:rPr>
        <w:t>正式</w:t>
      </w:r>
      <w:r>
        <w:rPr>
          <w:rFonts w:eastAsia="仿宋_GB2312"/>
          <w:sz w:val="32"/>
          <w:szCs w:val="32"/>
        </w:rPr>
        <w:t>组成部分。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color w:val="FF0000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eastAsia="仿宋_GB2312"/>
          <w:sz w:val="32"/>
          <w:szCs w:val="32"/>
        </w:rPr>
        <w:t>、本合同由甲乙</w:t>
      </w:r>
      <w:r>
        <w:rPr>
          <w:rFonts w:hint="eastAsia" w:eastAsia="仿宋_GB2312"/>
          <w:sz w:val="32"/>
          <w:szCs w:val="32"/>
          <w:lang w:val="en-US" w:eastAsia="zh-CN"/>
        </w:rPr>
        <w:t>双</w:t>
      </w:r>
      <w:r>
        <w:rPr>
          <w:rFonts w:eastAsia="仿宋_GB2312"/>
          <w:sz w:val="32"/>
          <w:szCs w:val="32"/>
        </w:rPr>
        <w:t>方签字盖章后生效。本合同一式</w:t>
      </w:r>
      <w:r>
        <w:rPr>
          <w:rFonts w:hint="eastAsia" w:eastAsia="仿宋_GB2312"/>
          <w:sz w:val="32"/>
          <w:szCs w:val="32"/>
          <w:lang w:val="en-US" w:eastAsia="zh-CN"/>
        </w:rPr>
        <w:t>贰</w:t>
      </w:r>
      <w:r>
        <w:rPr>
          <w:rFonts w:eastAsia="仿宋_GB2312"/>
          <w:sz w:val="32"/>
          <w:szCs w:val="32"/>
        </w:rPr>
        <w:t>份，甲方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乙方</w:t>
      </w:r>
      <w:r>
        <w:rPr>
          <w:rFonts w:hint="eastAsia" w:eastAsia="仿宋_GB2312"/>
          <w:sz w:val="32"/>
          <w:szCs w:val="32"/>
          <w:lang w:eastAsia="zh-CN"/>
        </w:rPr>
        <w:t>各执壹份</w:t>
      </w:r>
      <w:r>
        <w:rPr>
          <w:rFonts w:eastAsia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eastAsia="黑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甲方（盖章）</w:t>
      </w:r>
      <w:r>
        <w:rPr>
          <w:rFonts w:eastAsia="仿宋_GB2312"/>
          <w:sz w:val="32"/>
          <w:szCs w:val="32"/>
        </w:rPr>
        <w:t xml:space="preserve">                   </w:t>
      </w:r>
      <w:r>
        <w:rPr>
          <w:rFonts w:hint="eastAsia" w:ascii="黑体" w:eastAsia="黑体"/>
          <w:sz w:val="32"/>
          <w:szCs w:val="32"/>
        </w:rPr>
        <w:t>乙方（盖章）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代表人（签字）：               代表人（签字）：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时间：                         时间：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仿宋_GB2312" w:cs="Times New Roman"/>
          <w:kern w:val="3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  <w:rFonts w:ascii="宋体" w:cs="宋体"/>
        <w:sz w:val="24"/>
        <w:szCs w:val="24"/>
      </w:rPr>
    </w:pPr>
    <w:r>
      <w:rPr>
        <w:rStyle w:val="7"/>
        <w:rFonts w:ascii="宋体" w:hAnsi="宋体" w:cs="宋体"/>
        <w:sz w:val="24"/>
        <w:szCs w:val="24"/>
      </w:rPr>
      <w:fldChar w:fldCharType="begin"/>
    </w:r>
    <w:r>
      <w:rPr>
        <w:rStyle w:val="7"/>
        <w:rFonts w:ascii="宋体" w:hAnsi="宋体" w:cs="宋体"/>
        <w:sz w:val="24"/>
        <w:szCs w:val="24"/>
      </w:rPr>
      <w:instrText xml:space="preserve">PAGE  </w:instrText>
    </w:r>
    <w:r>
      <w:rPr>
        <w:rStyle w:val="7"/>
        <w:rFonts w:ascii="宋体" w:hAnsi="宋体" w:cs="宋体"/>
        <w:sz w:val="24"/>
        <w:szCs w:val="24"/>
      </w:rPr>
      <w:fldChar w:fldCharType="separate"/>
    </w:r>
    <w:r>
      <w:rPr>
        <w:rStyle w:val="7"/>
        <w:rFonts w:ascii="宋体" w:hAnsi="宋体" w:cs="宋体"/>
        <w:sz w:val="24"/>
        <w:szCs w:val="24"/>
      </w:rPr>
      <w:t>- 7 -</w:t>
    </w:r>
    <w:r>
      <w:rPr>
        <w:rStyle w:val="7"/>
        <w:rFonts w:ascii="宋体" w:hAnsi="宋体" w:cs="宋体"/>
        <w:sz w:val="24"/>
        <w:szCs w:val="24"/>
      </w:rPr>
      <w:fldChar w:fldCharType="end"/>
    </w:r>
  </w:p>
  <w:p>
    <w:pPr>
      <w:pStyle w:val="4"/>
      <w:ind w:right="360" w:firstLine="360"/>
      <w:rPr>
        <w:rFonts w:ascii="宋体" w:cs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625BF"/>
    <w:rsid w:val="1B815022"/>
    <w:rsid w:val="290625BF"/>
    <w:rsid w:val="2B5E5F3D"/>
    <w:rsid w:val="2E69282B"/>
    <w:rsid w:val="42631D65"/>
    <w:rsid w:val="6559670B"/>
    <w:rsid w:val="7C32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2020-09-14T02:25:00Z</dcterms:created>
  <dc:creator>Administrator</dc:creator>
  <cp:lastModifiedBy>林</cp:lastModifiedBy>
  <cp:lastPrinted>2020-09-14T06:39:52Z</cp:lastPrinted>
  <dcterms:modified xsi:type="dcterms:W3CDTF">2020-09-14T08:20:29Z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